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936BA" w14:textId="08E5E127" w:rsidR="008019C1" w:rsidRDefault="009765B5" w:rsidP="00AB7E58">
      <w:pPr>
        <w:spacing w:after="0" w:line="240" w:lineRule="auto"/>
      </w:pPr>
      <w:r>
        <w:rPr>
          <w:noProof/>
        </w:rPr>
        <w:drawing>
          <wp:inline distT="0" distB="0" distL="0" distR="0" wp14:anchorId="75FB4199" wp14:editId="696628AC">
            <wp:extent cx="1553844" cy="1942305"/>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a:extLst>
                        <a:ext uri="{28A0092B-C50C-407E-A947-70E740481C1C}">
                          <a14:useLocalDpi xmlns:a14="http://schemas.microsoft.com/office/drawing/2010/main" val="0"/>
                        </a:ext>
                      </a:extLst>
                    </a:blip>
                    <a:srcRect l="4406" t="3427" r="6588" b="13239"/>
                    <a:stretch/>
                  </pic:blipFill>
                  <pic:spPr bwMode="auto">
                    <a:xfrm>
                      <a:off x="0" y="0"/>
                      <a:ext cx="1554253" cy="1942816"/>
                    </a:xfrm>
                    <a:prstGeom prst="rect">
                      <a:avLst/>
                    </a:prstGeom>
                    <a:ln>
                      <a:noFill/>
                    </a:ln>
                    <a:extLst>
                      <a:ext uri="{53640926-AAD7-44D8-BBD7-CCE9431645EC}">
                        <a14:shadowObscured xmlns:a14="http://schemas.microsoft.com/office/drawing/2010/main"/>
                      </a:ext>
                    </a:extLst>
                  </pic:spPr>
                </pic:pic>
              </a:graphicData>
            </a:graphic>
          </wp:inline>
        </w:drawing>
      </w:r>
    </w:p>
    <w:p w14:paraId="3FDFD1CC" w14:textId="0F4A5BB9" w:rsidR="00AB7E58" w:rsidRPr="00AB7E58" w:rsidRDefault="00AB7E58" w:rsidP="00AB7E58">
      <w:pPr>
        <w:spacing w:after="0" w:line="240" w:lineRule="auto"/>
        <w:rPr>
          <w:b/>
          <w:bCs/>
        </w:rPr>
      </w:pPr>
      <w:r w:rsidRPr="00AB7E58">
        <w:rPr>
          <w:b/>
          <w:bCs/>
        </w:rPr>
        <w:t>Edward Chang</w:t>
      </w:r>
    </w:p>
    <w:p w14:paraId="32AD7CBC" w14:textId="7288A38B" w:rsidR="00AB7E58" w:rsidRDefault="00AB7E58" w:rsidP="00AB7E58">
      <w:pPr>
        <w:spacing w:after="0" w:line="240" w:lineRule="auto"/>
      </w:pPr>
      <w:r>
        <w:t>Computer Hacking &amp; Intellectual Property (CHIP) Coordinator</w:t>
      </w:r>
    </w:p>
    <w:p w14:paraId="628F0F11" w14:textId="77777777" w:rsidR="00AB7E58" w:rsidRDefault="00AB7E58" w:rsidP="00AB7E58">
      <w:pPr>
        <w:spacing w:after="0" w:line="240" w:lineRule="auto"/>
      </w:pPr>
      <w:r>
        <w:t>Assistant United States Attorney</w:t>
      </w:r>
    </w:p>
    <w:p w14:paraId="7EF70DDF" w14:textId="4D5C02E9" w:rsidR="00AB7E58" w:rsidRDefault="00AB7E58" w:rsidP="00AB7E58">
      <w:pPr>
        <w:spacing w:after="0" w:line="240" w:lineRule="auto"/>
      </w:pPr>
      <w:r>
        <w:t>U.S. Attorney’s Office for the District of Connecticut</w:t>
      </w:r>
    </w:p>
    <w:p w14:paraId="156543AA" w14:textId="67A3C8CC" w:rsidR="008019C1" w:rsidRDefault="008019C1" w:rsidP="00AB7E58">
      <w:pPr>
        <w:spacing w:before="240"/>
      </w:pPr>
      <w:r>
        <w:t xml:space="preserve">Edward Chang </w:t>
      </w:r>
      <w:r>
        <w:t>is a federal computer crimes prosecutor, currently in the District of Connecticut and previously in the Southern District of New York. In 2021, Eddie prosecuted members of the “crypt4u” group, which helped cyber criminals modify malicious software to avoid detection by antivirus</w:t>
      </w:r>
      <w:r w:rsidR="00AB7E58">
        <w:t xml:space="preserve"> software</w:t>
      </w:r>
      <w:r>
        <w:t xml:space="preserve">. One defendant, a Russian national, was convicted following a jury trial; </w:t>
      </w:r>
      <w:r w:rsidR="00AB7E58">
        <w:t>a second</w:t>
      </w:r>
      <w:r>
        <w:t xml:space="preserve"> defendant, extradited from Estonia, pled guilty </w:t>
      </w:r>
      <w:r w:rsidR="00AB7E58">
        <w:t xml:space="preserve">soon </w:t>
      </w:r>
      <w:r>
        <w:t>thereafter.</w:t>
      </w:r>
    </w:p>
    <w:p w14:paraId="0E065E75" w14:textId="11072A07" w:rsidR="008019C1" w:rsidRDefault="008019C1">
      <w:r>
        <w:t>In 2015, Eddie and his trial partner received the Director’s Award for Superior Performance by an Assistant United States Attorney in connection with the extradition and prosecution of thirteen defendants from Romania, Bulgaria, Sweden, and Canada who had been engaged in an extensive phishing conspiracy. In 2012, Eddie and his team were awarded the Attorney General’s Distinguished Service Award for successfully planning and executing the takedown of the “</w:t>
      </w:r>
      <w:proofErr w:type="spellStart"/>
      <w:r>
        <w:t>Coreflood</w:t>
      </w:r>
      <w:proofErr w:type="spellEnd"/>
      <w:r>
        <w:t>” botnet, the first-ever U.S. law enforcement action of its kind.</w:t>
      </w:r>
    </w:p>
    <w:p w14:paraId="77EAA005" w14:textId="01B43CF2" w:rsidR="008019C1" w:rsidRDefault="00AB7E58">
      <w:r>
        <w:t>From 2016 to 2020, Eddie led the Travelers cyber risk control practice as 2VP for Cyber Risk Management.</w:t>
      </w:r>
      <w:r w:rsidR="008019C1">
        <w:t xml:space="preserve"> </w:t>
      </w:r>
      <w:r w:rsidR="008019C1">
        <w:t xml:space="preserve">In that capacity, he </w:t>
      </w:r>
      <w:r>
        <w:t>wa</w:t>
      </w:r>
      <w:r w:rsidR="008019C1">
        <w:t xml:space="preserve">s involved in underwriting, risk control, and catastrophe analysis for the company’s cyber insurance products. He </w:t>
      </w:r>
      <w:r>
        <w:t>wa</w:t>
      </w:r>
      <w:r w:rsidR="008019C1">
        <w:t xml:space="preserve">s also responsible for the Travelers Cyber Academy, a multi-part webinar series on issues relating to cyber security and cyber insurance, and he was principal author of the Travelers Institute publication “Empowering Organizations to Tackle Evolving Cyber Threats: A Cybersecurity Guide for Small and Midsized Businesses.” </w:t>
      </w:r>
    </w:p>
    <w:p w14:paraId="68F2E24F" w14:textId="0D560CB4" w:rsidR="004277A7" w:rsidRDefault="008019C1">
      <w:r>
        <w:t xml:space="preserve">Eddie </w:t>
      </w:r>
      <w:r w:rsidR="00AB7E58">
        <w:t xml:space="preserve">was previously </w:t>
      </w:r>
      <w:r>
        <w:t>employed by Microsoft as a software development engineer in its Advanced Technology Division. He received a Ph.D. in Computer Science in 1994 from Stanford University and a J.D. in 1998 from the Yale Law School.</w:t>
      </w:r>
    </w:p>
    <w:sectPr w:rsidR="00427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C1"/>
    <w:rsid w:val="004277A7"/>
    <w:rsid w:val="008019C1"/>
    <w:rsid w:val="00844DEC"/>
    <w:rsid w:val="009765B5"/>
    <w:rsid w:val="00AB7E58"/>
    <w:rsid w:val="00CA4CE5"/>
    <w:rsid w:val="00FD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448290"/>
  <w15:chartTrackingRefBased/>
  <w15:docId w15:val="{BF6171E1-8663-4B5B-BAD6-A8A83257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Edward (USACT)</dc:creator>
  <cp:keywords/>
  <dc:description/>
  <cp:lastModifiedBy>Chang, Edward (USACT)</cp:lastModifiedBy>
  <cp:revision>2</cp:revision>
  <dcterms:created xsi:type="dcterms:W3CDTF">2021-07-23T15:36:00Z</dcterms:created>
  <dcterms:modified xsi:type="dcterms:W3CDTF">2021-07-23T16:02:00Z</dcterms:modified>
</cp:coreProperties>
</file>